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Style17"/>
        <w:numPr>
          <w:ilvl w:val="0"/>
          <w:numId w:val="0"/>
        </w:numPr>
        <w:ind w:left="567" w:hanging="0"/>
        <w:jc w:val="center"/>
        <w:outlineLvl w:val="0"/>
        <w:rPr>
          <w:b/>
          <w:b/>
        </w:rPr>
      </w:pPr>
      <w:bookmarkStart w:id="0" w:name="_GoBack"/>
      <w:bookmarkEnd w:id="0"/>
      <w:r>
        <w:drawing>
          <wp:anchor behindDoc="1" distT="0" distB="0" distL="133985" distR="123825" simplePos="0" locked="0" layoutInCell="1" allowOverlap="1" relativeHeight="2">
            <wp:simplePos x="0" y="0"/>
            <wp:positionH relativeFrom="column">
              <wp:posOffset>-226695</wp:posOffset>
            </wp:positionH>
            <wp:positionV relativeFrom="paragraph">
              <wp:posOffset>-226695</wp:posOffset>
            </wp:positionV>
            <wp:extent cx="1286510" cy="1477645"/>
            <wp:effectExtent l="0" t="0" r="0" b="0"/>
            <wp:wrapNone/>
            <wp:docPr id="1" name="Рисунок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2" descr=""/>
                    <pic:cNvPicPr>
                      <a:picLocks noChangeAspect="1" noChangeArrowheads="1"/>
                    </pic:cNvPicPr>
                  </pic:nvPicPr>
                  <pic:blipFill>
                    <a:blip r:embed="rId2"/>
                    <a:stretch>
                      <a:fillRect/>
                    </a:stretch>
                  </pic:blipFill>
                  <pic:spPr bwMode="auto">
                    <a:xfrm>
                      <a:off x="0" y="0"/>
                      <a:ext cx="1286510" cy="1477645"/>
                    </a:xfrm>
                    <a:prstGeom prst="rect">
                      <a:avLst/>
                    </a:prstGeom>
                  </pic:spPr>
                </pic:pic>
              </a:graphicData>
            </a:graphic>
          </wp:anchor>
        </w:drawing>
      </w:r>
      <w:r>
        <w:rPr>
          <w:b/>
        </w:rPr>
        <w:t>П</w:t>
      </w:r>
      <w:r>
        <w:rPr>
          <w:b/>
        </w:rPr>
        <w:t>РЕСС-СЛУЖБА</w:t>
      </w:r>
    </w:p>
    <w:p>
      <w:pPr>
        <w:pStyle w:val="Style17"/>
        <w:ind w:left="567" w:hanging="0"/>
        <w:jc w:val="center"/>
        <w:rPr>
          <w:b/>
          <w:b/>
        </w:rPr>
      </w:pPr>
      <w:r>
        <w:rPr>
          <w:b/>
        </w:rPr>
        <w:t xml:space="preserve">              </w:t>
      </w:r>
      <w:r>
        <w:rPr>
          <w:b/>
        </w:rPr>
        <w:t>ГОСУДАРСТВЕННОГО УЧРЕЖДЕНИЯ – ОТДЕЛЕНИЯ ПЕНСИОННОГО ФОНДА РОССИЙСКОЙ ФЕДЕРАЦИИ</w:t>
      </w:r>
    </w:p>
    <w:p>
      <w:pPr>
        <w:pStyle w:val="Style17"/>
        <w:numPr>
          <w:ilvl w:val="0"/>
          <w:numId w:val="0"/>
        </w:numPr>
        <w:ind w:left="567" w:hanging="0"/>
        <w:jc w:val="center"/>
        <w:outlineLvl w:val="0"/>
        <w:rPr>
          <w:b/>
          <w:b/>
        </w:rPr>
      </w:pPr>
      <w:r>
        <w:rPr>
          <w:b/>
        </w:rPr>
        <w:t>ПО ВОЛГОГРАДСКОЙ ОБЛАСТИ</w:t>
      </w:r>
    </w:p>
    <w:p>
      <w:pPr>
        <w:pStyle w:val="Style21"/>
        <w:ind w:left="567" w:firstLine="578"/>
        <w:jc w:val="center"/>
        <w:rPr>
          <w:b/>
          <w:b/>
        </w:rPr>
      </w:pPr>
      <w:r>
        <w:rPr>
          <w:b/>
        </w:rPr>
        <w:t>400001, г. Волгоград, ул. Рабоче-Крестьянская, 16</w:t>
      </w:r>
    </w:p>
    <w:p>
      <w:pPr>
        <w:pStyle w:val="Style21"/>
        <w:ind w:left="567" w:firstLine="578"/>
        <w:jc w:val="center"/>
        <w:rPr>
          <w:b/>
          <w:b/>
          <w:bCs/>
        </w:rPr>
      </w:pPr>
      <w:r>
        <w:rPr>
          <w:b/>
        </w:rPr>
        <w:t xml:space="preserve">тел. (8442) </w:t>
      </w:r>
      <w:r>
        <w:rPr>
          <w:b/>
          <w:bCs/>
        </w:rPr>
        <w:t>24-93-77</w:t>
      </w:r>
    </w:p>
    <w:p>
      <w:pPr>
        <w:pStyle w:val="Style21"/>
        <w:ind w:left="567" w:hanging="0"/>
        <w:jc w:val="center"/>
        <w:rPr>
          <w:b/>
          <w:b/>
          <w:bCs/>
          <w:sz w:val="32"/>
        </w:rPr>
      </w:pPr>
      <w:r>
        <w:rPr>
          <w:b/>
          <w:bCs/>
          <w:sz w:val="32"/>
        </w:rPr>
        <mc:AlternateContent>
          <mc:Choice Requires="wps">
            <w:drawing>
              <wp:anchor behindDoc="0" distT="0" distB="0" distL="114300" distR="114300" simplePos="0" locked="0" layoutInCell="1" allowOverlap="1" relativeHeight="3">
                <wp:simplePos x="0" y="0"/>
                <wp:positionH relativeFrom="column">
                  <wp:posOffset>457200</wp:posOffset>
                </wp:positionH>
                <wp:positionV relativeFrom="paragraph">
                  <wp:posOffset>59690</wp:posOffset>
                </wp:positionV>
                <wp:extent cx="5944235" cy="1270"/>
                <wp:effectExtent l="32385" t="38100" r="34290" b="38100"/>
                <wp:wrapNone/>
                <wp:docPr id="2" name="Line 2"/>
                <a:graphic xmlns:a="http://schemas.openxmlformats.org/drawingml/2006/main">
                  <a:graphicData uri="http://schemas.microsoft.com/office/word/2010/wordprocessingShape">
                    <wps:wsp>
                      <wps:cNvSpPr/>
                      <wps:spPr>
                        <a:xfrm>
                          <a:off x="0" y="0"/>
                          <a:ext cx="5943600" cy="0"/>
                        </a:xfrm>
                        <a:prstGeom prst="line">
                          <a:avLst/>
                        </a:prstGeom>
                        <a:ln w="57240">
                          <a:solidFill>
                            <a:srgbClr val="000000"/>
                          </a:solidFill>
                          <a:miter/>
                        </a:ln>
                      </wps:spPr>
                      <wps:style>
                        <a:lnRef idx="0"/>
                        <a:fillRef idx="0"/>
                        <a:effectRef idx="0"/>
                        <a:fontRef idx="minor"/>
                      </wps:style>
                      <wps:bodyPr/>
                    </wps:wsp>
                  </a:graphicData>
                </a:graphic>
              </wp:anchor>
            </w:drawing>
          </mc:Choice>
          <mc:Fallback>
            <w:pict>
              <v:line id="shape_0" from="36pt,4.7pt" to="503.95pt,4.7pt" ID="Line 2" stroked="t" style="position:absolute">
                <v:stroke color="black" weight="57240" joinstyle="miter" endcap="flat"/>
                <v:fill o:detectmouseclick="t" on="false"/>
              </v:line>
            </w:pict>
          </mc:Fallback>
        </mc:AlternateContent>
      </w:r>
    </w:p>
    <w:p>
      <w:pPr>
        <w:pStyle w:val="Style21"/>
        <w:ind w:left="567" w:hanging="0"/>
        <w:jc w:val="center"/>
        <w:rPr/>
      </w:pPr>
      <w:r>
        <w:rPr>
          <w:b/>
          <w:bCs/>
        </w:rPr>
        <w:t>Официальный сайт Отделения ПФР по Волгоградской области –</w:t>
      </w:r>
      <w:r>
        <w:rPr>
          <w:b/>
          <w:bCs/>
          <w:u w:val="single"/>
        </w:rPr>
        <w:t xml:space="preserve">  </w:t>
      </w:r>
      <w:hyperlink r:id="rId3">
        <w:r>
          <w:rPr>
            <w:rStyle w:val="Style13"/>
            <w:b/>
            <w:bCs/>
            <w:lang w:val="en-US"/>
          </w:rPr>
          <w:t>pfr</w:t>
        </w:r>
        <w:r>
          <w:rPr>
            <w:rStyle w:val="Style13"/>
            <w:b/>
            <w:bCs/>
          </w:rPr>
          <w:t>.</w:t>
        </w:r>
        <w:r>
          <w:rPr>
            <w:rStyle w:val="Style13"/>
            <w:b/>
            <w:bCs/>
            <w:lang w:val="en-US"/>
          </w:rPr>
          <w:t>gov</w:t>
        </w:r>
        <w:r>
          <w:rPr>
            <w:rStyle w:val="Style13"/>
            <w:b/>
            <w:bCs/>
          </w:rPr>
          <w:t>.</w:t>
        </w:r>
        <w:r>
          <w:rPr>
            <w:rStyle w:val="Style13"/>
            <w:b/>
            <w:bCs/>
            <w:lang w:val="en-US"/>
          </w:rPr>
          <w:t>ru</w:t>
        </w:r>
      </w:hyperlink>
    </w:p>
    <w:p>
      <w:pPr>
        <w:pStyle w:val="Normal"/>
        <w:numPr>
          <w:ilvl w:val="0"/>
          <w:numId w:val="0"/>
        </w:numPr>
        <w:spacing w:beforeAutospacing="1" w:afterAutospacing="1"/>
        <w:outlineLvl w:val="0"/>
        <w:rPr>
          <w:rFonts w:ascii="Times New Roman" w:hAnsi="Times New Roman"/>
          <w:b/>
          <w:b/>
          <w:bCs/>
          <w:szCs w:val="48"/>
          <w:lang w:eastAsia="ru-RU"/>
        </w:rPr>
      </w:pPr>
      <w:r>
        <w:rPr>
          <w:rFonts w:ascii="Times New Roman" w:hAnsi="Times New Roman"/>
          <w:b/>
          <w:bCs/>
          <w:szCs w:val="48"/>
          <w:lang w:eastAsia="ru-RU"/>
        </w:rPr>
        <w:t>16 августа 2022 года</w:t>
      </w:r>
    </w:p>
    <w:p>
      <w:pPr>
        <w:pStyle w:val="NormalWeb"/>
        <w:jc w:val="both"/>
        <w:rPr/>
      </w:pPr>
      <w:r>
        <w:rPr>
          <w:b/>
          <w:sz w:val="28"/>
          <w:szCs w:val="28"/>
        </w:rPr>
        <w:t>Почти 75 тысяч волгоградцев выбрали электронную трудовую  книжку</w:t>
        <w:br/>
        <w:br/>
      </w:r>
      <w:r>
        <w:rPr/>
        <w:t>В Волгоградской области 74 700 человек предпочли бумажным трудовым книжкам электронные. Возможность сменить способ учета трудовой деятельности с традиционного на современный есть у всех трудоустроенных граждан. Для этого необходимо лишь подать заявление работодателю.</w:t>
      </w:r>
    </w:p>
    <w:p>
      <w:pPr>
        <w:pStyle w:val="NormalWeb"/>
        <w:jc w:val="both"/>
        <w:rPr/>
      </w:pPr>
      <w:r>
        <w:rPr/>
        <w:t>Электронная книжка обеспечивает постоянный, быстрый и удобный доступ граждан к информации о своей трудовой деятельности. Ее можно распечатать, сохранить на компьютер или карту памяти, отправить по электронной почте. Молодежи, только начинающей трудовой путь сразу оформляются только электронные трудовые книжки. Электронный формат помогает упростить дистанционное трудоустройство. Работодателям - снизить издержки на ведение бумажных книжек, анализировать данные о трудовой деятельности.</w:t>
      </w:r>
    </w:p>
    <w:p>
      <w:pPr>
        <w:pStyle w:val="NormalWeb"/>
        <w:jc w:val="both"/>
        <w:rPr/>
      </w:pPr>
      <w:r>
        <w:rPr/>
        <w:t>Минимизация ошибок и некорректных данных в электронных трудовых книжках позволяет дистанционно оформлять пенсии по данным индивидуального лицевого счета в ПФР без предоставления гражданином дополнительного пакета документов.</w:t>
      </w:r>
    </w:p>
    <w:p>
      <w:pPr>
        <w:pStyle w:val="NormalWeb"/>
        <w:jc w:val="both"/>
        <w:rPr/>
      </w:pPr>
      <w:r>
        <w:rPr/>
        <w:t>Отметим, что сведения о трудовой деятельности граждан в электронном виде надежно защищены. Информационная система Пенсионного фонда России аттестована в соответствии с действующим российским законодательством в области защиты персональных данных. База данных ПФР обеспечена многоуровневым ежедневным копированием данных лицевых счетов граждан.</w:t>
      </w:r>
    </w:p>
    <w:p>
      <w:pPr>
        <w:pStyle w:val="NoSpacing"/>
        <w:jc w:val="both"/>
        <w:rPr/>
      </w:pPr>
      <w:r>
        <w:rPr/>
      </w:r>
    </w:p>
    <w:sectPr>
      <w:type w:val="nextPage"/>
      <w:pgSz w:w="11906" w:h="16838"/>
      <w:pgMar w:left="1701" w:right="850" w:header="0" w:top="1134" w:footer="0" w:bottom="1134" w:gutter="0"/>
      <w:pgNumType w:fmt="decimal"/>
      <w:formProt w:val="false"/>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Liberation Sans">
    <w:altName w:val="Arial"/>
    <w:charset w:val="cc"/>
    <w:family w:val="swiss"/>
    <w:pitch w:val="variable"/>
  </w:font>
</w:fonts>
</file>

<file path=word/settings.xml><?xml version="1.0" encoding="utf-8"?>
<w:settings xmlns:w="http://schemas.openxmlformats.org/wordprocessingml/2006/main">
  <w:zoom w:percent="100"/>
  <w:defaultTabStop w:val="708"/>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Body Text" w:uiPriority="0"/>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bidi w:val="0"/>
      <w:spacing w:lineRule="auto" w:line="276" w:before="0" w:after="200"/>
      <w:jc w:val="left"/>
    </w:pPr>
    <w:rPr>
      <w:rFonts w:ascii="Calibri" w:hAnsi="Calibri" w:eastAsia="Calibri" w:cs="" w:asciiTheme="minorHAnsi" w:cstheme="minorBidi" w:eastAsiaTheme="minorHAnsi" w:hAnsiTheme="minorHAnsi"/>
      <w:color w:val="auto"/>
      <w:sz w:val="22"/>
      <w:szCs w:val="22"/>
      <w:lang w:val="ru-RU" w:eastAsia="en-US" w:bidi="ar-SA"/>
    </w:rPr>
  </w:style>
  <w:style w:type="paragraph" w:styleId="1">
    <w:name w:val="Heading 1"/>
    <w:basedOn w:val="Normal"/>
    <w:link w:val="10"/>
    <w:uiPriority w:val="9"/>
    <w:qFormat/>
    <w:rsid w:val="009f5acf"/>
    <w:pPr>
      <w:spacing w:lineRule="auto" w:line="240" w:beforeAutospacing="1" w:afterAutospacing="1"/>
      <w:outlineLvl w:val="0"/>
    </w:pPr>
    <w:rPr>
      <w:rFonts w:ascii="Times New Roman" w:hAnsi="Times New Roman" w:eastAsia="Times New Roman" w:cs="Times New Roman"/>
      <w:b/>
      <w:bCs/>
      <w:sz w:val="48"/>
      <w:szCs w:val="48"/>
      <w:lang w:eastAsia="ru-RU"/>
    </w:rPr>
  </w:style>
  <w:style w:type="character" w:styleId="DefaultParagraphFont" w:default="1">
    <w:name w:val="Default Paragraph Font"/>
    <w:uiPriority w:val="1"/>
    <w:semiHidden/>
    <w:unhideWhenUsed/>
    <w:qFormat/>
    <w:rPr/>
  </w:style>
  <w:style w:type="character" w:styleId="11" w:customStyle="1">
    <w:name w:val="Заголовок 1 Знак"/>
    <w:basedOn w:val="DefaultParagraphFont"/>
    <w:link w:val="1"/>
    <w:uiPriority w:val="9"/>
    <w:qFormat/>
    <w:rsid w:val="009f5acf"/>
    <w:rPr>
      <w:rFonts w:ascii="Times New Roman" w:hAnsi="Times New Roman" w:eastAsia="Times New Roman" w:cs="Times New Roman"/>
      <w:b/>
      <w:bCs/>
      <w:sz w:val="48"/>
      <w:szCs w:val="48"/>
      <w:lang w:eastAsia="ru-RU"/>
    </w:rPr>
  </w:style>
  <w:style w:type="character" w:styleId="Style13">
    <w:name w:val="Интернет-ссылка"/>
    <w:basedOn w:val="DefaultParagraphFont"/>
    <w:uiPriority w:val="99"/>
    <w:semiHidden/>
    <w:unhideWhenUsed/>
    <w:rsid w:val="009f5acf"/>
    <w:rPr>
      <w:color w:val="0000FF"/>
      <w:u w:val="single"/>
    </w:rPr>
  </w:style>
  <w:style w:type="character" w:styleId="Style14" w:customStyle="1">
    <w:name w:val="Основной текст Знак"/>
    <w:basedOn w:val="DefaultParagraphFont"/>
    <w:link w:val="a6"/>
    <w:semiHidden/>
    <w:qFormat/>
    <w:rsid w:val="00b25d95"/>
    <w:rPr>
      <w:rFonts w:ascii="Liberation Serif" w:hAnsi="Liberation Serif" w:eastAsia="SimSun" w:cs="Mangal"/>
      <w:sz w:val="24"/>
      <w:szCs w:val="24"/>
      <w:lang w:eastAsia="zh-CN" w:bidi="hi-IN"/>
    </w:rPr>
  </w:style>
  <w:style w:type="character" w:styleId="Style15" w:customStyle="1">
    <w:name w:val="Основной текст с отступом Знак"/>
    <w:basedOn w:val="DefaultParagraphFont"/>
    <w:link w:val="a8"/>
    <w:uiPriority w:val="99"/>
    <w:semiHidden/>
    <w:qFormat/>
    <w:rsid w:val="00b25d95"/>
    <w:rPr>
      <w:rFonts w:ascii="Liberation Serif" w:hAnsi="Liberation Serif" w:eastAsia="SimSun" w:cs="Mangal"/>
      <w:sz w:val="24"/>
      <w:szCs w:val="21"/>
      <w:lang w:eastAsia="zh-CN" w:bidi="hi-IN"/>
    </w:rPr>
  </w:style>
  <w:style w:type="paragraph" w:styleId="Style16">
    <w:name w:val="Заголовок"/>
    <w:basedOn w:val="Normal"/>
    <w:next w:val="Style17"/>
    <w:qFormat/>
    <w:pPr>
      <w:keepNext/>
      <w:spacing w:before="240" w:after="120"/>
    </w:pPr>
    <w:rPr>
      <w:rFonts w:ascii="Liberation Sans" w:hAnsi="Liberation Sans" w:eastAsia="Microsoft YaHei" w:cs="Mangal"/>
      <w:sz w:val="28"/>
      <w:szCs w:val="28"/>
    </w:rPr>
  </w:style>
  <w:style w:type="paragraph" w:styleId="Style17">
    <w:name w:val="Body Text"/>
    <w:basedOn w:val="Normal"/>
    <w:link w:val="a7"/>
    <w:semiHidden/>
    <w:unhideWhenUsed/>
    <w:rsid w:val="00b25d95"/>
    <w:pPr>
      <w:widowControl w:val="false"/>
      <w:suppressAutoHyphens w:val="true"/>
      <w:spacing w:lineRule="auto" w:line="288" w:before="0" w:after="140"/>
    </w:pPr>
    <w:rPr>
      <w:rFonts w:ascii="Liberation Serif" w:hAnsi="Liberation Serif" w:eastAsia="SimSun" w:cs="Mangal"/>
      <w:sz w:val="24"/>
      <w:szCs w:val="24"/>
      <w:lang w:eastAsia="zh-CN" w:bidi="hi-IN"/>
    </w:rPr>
  </w:style>
  <w:style w:type="paragraph" w:styleId="Style18">
    <w:name w:val="List"/>
    <w:basedOn w:val="Style17"/>
    <w:pPr/>
    <w:rPr>
      <w:rFonts w:cs="Mangal"/>
    </w:rPr>
  </w:style>
  <w:style w:type="paragraph" w:styleId="Style19">
    <w:name w:val="Caption"/>
    <w:basedOn w:val="Normal"/>
    <w:qFormat/>
    <w:pPr>
      <w:suppressLineNumbers/>
      <w:spacing w:before="120" w:after="120"/>
    </w:pPr>
    <w:rPr>
      <w:rFonts w:cs="Mangal"/>
      <w:i/>
      <w:iCs/>
      <w:sz w:val="24"/>
      <w:szCs w:val="24"/>
    </w:rPr>
  </w:style>
  <w:style w:type="paragraph" w:styleId="Style20">
    <w:name w:val="Указатель"/>
    <w:basedOn w:val="Normal"/>
    <w:qFormat/>
    <w:pPr>
      <w:suppressLineNumbers/>
    </w:pPr>
    <w:rPr>
      <w:rFonts w:cs="Mangal"/>
    </w:rPr>
  </w:style>
  <w:style w:type="paragraph" w:styleId="NormalWeb">
    <w:name w:val="Normal (Web)"/>
    <w:basedOn w:val="Normal"/>
    <w:uiPriority w:val="99"/>
    <w:semiHidden/>
    <w:unhideWhenUsed/>
    <w:qFormat/>
    <w:rsid w:val="009f5acf"/>
    <w:pPr>
      <w:spacing w:lineRule="auto" w:line="240" w:beforeAutospacing="1" w:afterAutospacing="1"/>
    </w:pPr>
    <w:rPr>
      <w:rFonts w:ascii="Times New Roman" w:hAnsi="Times New Roman" w:eastAsia="Times New Roman" w:cs="Times New Roman"/>
      <w:sz w:val="24"/>
      <w:szCs w:val="24"/>
      <w:lang w:eastAsia="ru-RU"/>
    </w:rPr>
  </w:style>
  <w:style w:type="paragraph" w:styleId="NoSpacing">
    <w:name w:val="No Spacing"/>
    <w:uiPriority w:val="1"/>
    <w:qFormat/>
    <w:rsid w:val="005b2fca"/>
    <w:pPr>
      <w:widowControl/>
      <w:bidi w:val="0"/>
      <w:spacing w:lineRule="auto" w:line="240" w:before="0" w:after="0"/>
      <w:jc w:val="left"/>
    </w:pPr>
    <w:rPr>
      <w:rFonts w:ascii="Calibri" w:hAnsi="Calibri" w:eastAsia="Calibri" w:cs="" w:asciiTheme="minorHAnsi" w:cstheme="minorBidi" w:eastAsiaTheme="minorHAnsi" w:hAnsiTheme="minorHAnsi"/>
      <w:color w:val="auto"/>
      <w:sz w:val="22"/>
      <w:szCs w:val="22"/>
      <w:lang w:val="ru-RU" w:eastAsia="en-US" w:bidi="ar-SA"/>
    </w:rPr>
  </w:style>
  <w:style w:type="paragraph" w:styleId="Style21">
    <w:name w:val="Body Text Indent"/>
    <w:basedOn w:val="Normal"/>
    <w:link w:val="a9"/>
    <w:uiPriority w:val="99"/>
    <w:semiHidden/>
    <w:unhideWhenUsed/>
    <w:rsid w:val="00b25d95"/>
    <w:pPr>
      <w:widowControl w:val="false"/>
      <w:suppressAutoHyphens w:val="true"/>
      <w:spacing w:lineRule="auto" w:line="240" w:before="0" w:after="120"/>
      <w:ind w:left="283" w:hanging="0"/>
    </w:pPr>
    <w:rPr>
      <w:rFonts w:ascii="Liberation Serif" w:hAnsi="Liberation Serif" w:eastAsia="SimSun" w:cs="Mangal"/>
      <w:sz w:val="24"/>
      <w:szCs w:val="21"/>
      <w:lang w:eastAsia="zh-CN" w:bidi="hi-IN"/>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http://www.pfrf.ru/" TargetMode="Externa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Application>LibreOffice/5.2.0.3$Windows_x86 LibreOffice_project/7dbd85f5a18cfeaf6801c594fc43a5edadc2df0c</Application>
  <Pages>1</Pages>
  <Words>197</Words>
  <Characters>1468</Characters>
  <CharactersWithSpaces>1673</CharactersWithSpaces>
  <Paragraphs>11</Paragraphs>
  <Company>Centr3</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2022-08-16T07:06:00Z</dcterms:created>
  <dc:creator>Пользователь</dc:creator>
  <dc:description/>
  <dc:language>ru-RU</dc:language>
  <cp:lastModifiedBy>Пользователь</cp:lastModifiedBy>
  <dcterms:modified xsi:type="dcterms:W3CDTF">2022-08-16T07:06:00Z</dcterms:modified>
  <cp:revision>2</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Centr3</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